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59" w:lineRule="auto"/>
        <w:jc w:val="both"/>
        <w:rPr>
          <w:rFonts w:ascii="Calibri" w:cs="Calibri" w:eastAsia="Calibri" w:hAnsi="Calibri"/>
          <w:color w:val="2e75b5"/>
          <w:sz w:val="32"/>
          <w:szCs w:val="32"/>
        </w:rPr>
      </w:pPr>
      <w:bookmarkStart w:colFirst="0" w:colLast="0" w:name="_nmf14n" w:id="0"/>
      <w:bookmarkEnd w:id="0"/>
      <w:r w:rsidDel="00000000" w:rsidR="00000000" w:rsidRPr="00000000">
        <w:rPr>
          <w:rFonts w:ascii="Calibri" w:cs="Calibri" w:eastAsia="Calibri" w:hAnsi="Calibri"/>
          <w:color w:val="2e75b5"/>
          <w:sz w:val="32"/>
          <w:szCs w:val="32"/>
          <w:rtl w:val="0"/>
        </w:rPr>
        <w:t xml:space="preserve">Appendix D – Data for TANF, EARN, and Work Ready in Allegheny County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TANF Recipient Maps for Allegheny County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 following maps illustrate the geographic distribution of EARN recipients, provided for general reference. Data used to produce these maps represent only EARN recipients who received a service during July 1, 2023 though June 30, 2024. As such, these data do not represent all Allegheny County residents who received TANF assistance. 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INDIVIDUAL LOCATIONS OF EARN RECIPIENTS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bookmarkStart w:colFirst="0" w:colLast="0" w:name="_37m2jsg" w:id="1"/>
      <w:bookmarkEnd w:id="1"/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943600" cy="50165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6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NUMBER OF TANF CLIENTS BY ALLEGHENY COUNTY MUNICIPALITY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943600" cy="58166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Demographic Data for the Allegheny County EARN and Work Ready Programs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 following table provides basic demographic data related to the Allegheny County Employment Advancement and Retention Network (EARN) and Work Ready programs. The data presented reflects the 2023-2024 program year, retrieved from the Commonwealth Workforce Development System (CWDS). In program year 2023-2024, between the three Allegheny County EARN centers currently in operation, the EARN and Work Ready Programs served 1,290 cases referred from the County Assistance Office (CAO) (see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General Information, EARN Centers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 more detail regarding locations).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335.0" w:type="dxa"/>
        <w:jc w:val="center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5040"/>
        <w:gridCol w:w="2295"/>
        <w:tblGridChange w:id="0">
          <w:tblGrid>
            <w:gridCol w:w="5040"/>
            <w:gridCol w:w="229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0cece" w:val="clear"/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Allegheny County EARN and Work Ready Participants (2023-2024)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 ENROLLMENTS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1,290</w:t>
            </w:r>
          </w:p>
        </w:tc>
      </w:tr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1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Gender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Male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8.93%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Female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91.07%</w:t>
            </w:r>
          </w:p>
        </w:tc>
      </w:tr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Race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African American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70.60%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White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16.22%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Other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7.95%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Unknown/Not Disclosed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5.23%</w:t>
            </w:r>
          </w:p>
        </w:tc>
      </w:tr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Age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24 and younger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7.86%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25-34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50.04%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35-44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32.02%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45-54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8.27%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55-64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1.39%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65 and older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0.41%</w:t>
            </w:r>
          </w:p>
        </w:tc>
      </w:tr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Education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12 grades or fewer completed, no diploma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12.70%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High School diploma, GED, or equivalent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65.52%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Some post-secondary education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7.21%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Post-secondary certification/associates degree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1.80%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Bachelor’s Degree/equivalent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1.64%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Master’s Degree or higher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8.03%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Missing/Did not disclose</w:t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3.10%</w:t>
            </w:r>
          </w:p>
        </w:tc>
      </w:tr>
    </w:tbl>
    <w:p w:rsidR="00000000" w:rsidDel="00000000" w:rsidP="00000000" w:rsidRDefault="00000000" w:rsidRPr="00000000" w14:paraId="00000042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See description and limitations of data used to produce this map on the preceding page.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